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1E28F" w14:textId="77777777" w:rsidR="00214BEE" w:rsidRDefault="00214BEE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</w:rPr>
      </w:pPr>
      <w:r w:rsidRPr="006426DD">
        <w:rPr>
          <w:rFonts w:asciiTheme="minorHAnsi" w:hAnsiTheme="minorHAnsi"/>
          <w:color w:val="000000"/>
        </w:rPr>
        <w:t xml:space="preserve">Vol. 43 Nr. 3 März 2012 </w:t>
      </w:r>
    </w:p>
    <w:p w14:paraId="53190B2B" w14:textId="2FCBF565" w:rsidR="00214BEE" w:rsidRPr="00107F30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  <w:sz w:val="21"/>
          <w:szCs w:val="21"/>
        </w:rPr>
      </w:pPr>
      <w:r w:rsidRPr="00107F30">
        <w:rPr>
          <w:rFonts w:asciiTheme="minorHAnsi" w:hAnsiTheme="minorHAnsi"/>
          <w:color w:val="000000"/>
          <w:sz w:val="21"/>
          <w:szCs w:val="21"/>
        </w:rPr>
        <w:t>An den Herausgeber: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 </w:t>
      </w:r>
    </w:p>
    <w:p w14:paraId="41FF6087" w14:textId="77777777" w:rsidR="00214BEE" w:rsidRPr="00107F30" w:rsidRDefault="00214BEE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  <w:sz w:val="21"/>
          <w:szCs w:val="21"/>
        </w:rPr>
      </w:pPr>
    </w:p>
    <w:p w14:paraId="59095C3C" w14:textId="57244D60" w:rsidR="00214BEE" w:rsidRPr="00107F30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  <w:sz w:val="21"/>
          <w:szCs w:val="21"/>
        </w:rPr>
      </w:pPr>
      <w:r w:rsidRPr="00107F30">
        <w:rPr>
          <w:rFonts w:asciiTheme="minorHAnsi" w:hAnsiTheme="minorHAnsi"/>
          <w:color w:val="000000"/>
          <w:sz w:val="21"/>
          <w:szCs w:val="21"/>
        </w:rPr>
        <w:t>Wissenschaftler des CERN haben kürzlich die wissenschaftliche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Welt erschüttert, indem sie berichteten, dass 16.000 Neutrino-Pakete,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 von ihren Einrichtungen in Genf aus gestartet wurden,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Geschwindigkeiten über der Lichtgeschwindigkeit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erreicht haben. Wenn sich diese Ergebnisse bestätigen, könnte diese Entdeckung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Albert Einsteins spezielle Relativitätstheorie von 1905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 xml:space="preserve">widerlegen und die Physik </w:t>
      </w:r>
      <w:proofErr w:type="spellStart"/>
      <w:r w:rsidRPr="00107F30">
        <w:rPr>
          <w:rFonts w:asciiTheme="minorHAnsi" w:hAnsiTheme="minorHAnsi"/>
          <w:color w:val="000000"/>
          <w:sz w:val="21"/>
          <w:szCs w:val="21"/>
        </w:rPr>
        <w:t>revolutionieren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>a</w:t>
      </w:r>
      <w:proofErr w:type="spellEnd"/>
      <w:r w:rsidRPr="00107F30">
        <w:rPr>
          <w:rFonts w:asciiTheme="minorHAnsi" w:hAnsiTheme="minorHAnsi"/>
          <w:color w:val="000000"/>
          <w:sz w:val="21"/>
          <w:szCs w:val="21"/>
        </w:rPr>
        <w:t>. Aber leider bin ich kein Einstein, und mein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eigener Ausflug in die Relativitätstheorie könnte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weniger als ein paar Monate nach seiner Veröffentlichung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in Schwierigkeiten geraten sein.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 </w:t>
      </w:r>
    </w:p>
    <w:p w14:paraId="3B742CAB" w14:textId="77777777" w:rsidR="00214BEE" w:rsidRPr="00107F30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  <w:sz w:val="21"/>
          <w:szCs w:val="21"/>
        </w:rPr>
      </w:pPr>
      <w:r w:rsidRPr="00107F30">
        <w:rPr>
          <w:rFonts w:asciiTheme="minorHAnsi" w:hAnsiTheme="minorHAnsi"/>
          <w:color w:val="000000"/>
          <w:sz w:val="21"/>
          <w:szCs w:val="21"/>
        </w:rPr>
        <w:t>In diesem Kampf zwischen David und Goliath (und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zweifellos bin ich derjenige, der die Schleuder hält) werde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ich meine Neigung, angesichts meiner begrenzten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Kenntnisse in Wirtschaftswissenschaften aus echter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Demut zu schweigen, beiseite lassen. Unwissenheit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hat mich schließlich nicht davon abgehalten, mich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in die wirtschaftliche Debatte einzumischen, um einen meiner Meinung nach wichtigen philosophischen Punkt anzusprechen: Es gibt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eine Vielzahl von Themen, die oft übersehen oder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völlig ignoriert werden, die jedoch die Erfahrung am Lebensende beeinflussen und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prägen können.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 </w:t>
      </w:r>
    </w:p>
    <w:p w14:paraId="40CDE2AC" w14:textId="77777777" w:rsidR="00214BEE" w:rsidRPr="00107F30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  <w:sz w:val="21"/>
          <w:szCs w:val="21"/>
        </w:rPr>
      </w:pPr>
      <w:r w:rsidRPr="00107F30">
        <w:rPr>
          <w:rFonts w:asciiTheme="minorHAnsi" w:hAnsiTheme="minorHAnsi"/>
          <w:color w:val="000000"/>
          <w:sz w:val="21"/>
          <w:szCs w:val="21"/>
        </w:rPr>
        <w:t>Der Vorschlag eines Bewertungsindexes (palliativ) (VIP) sollte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 herkömmliche Berechnung in Frage stellen und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diesen Themen ihren längst überfälligen Wert zuweisen.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Anstatt meine gesamte Begründung für diese Haltung zu wiederholen (interessierte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Leser können sich auf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Anstatt meine gesamte Begründung für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diese Haltung zu wiederholen (interessierte Leser können sich auf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 xml:space="preserve">„Death, Time, and </w:t>
      </w:r>
      <w:proofErr w:type="spellStart"/>
      <w:r w:rsidRPr="00107F30">
        <w:rPr>
          <w:rFonts w:asciiTheme="minorHAnsi" w:hAnsiTheme="minorHAnsi"/>
          <w:color w:val="000000"/>
          <w:sz w:val="21"/>
          <w:szCs w:val="21"/>
        </w:rPr>
        <w:t>the</w:t>
      </w:r>
      <w:proofErr w:type="spellEnd"/>
      <w:r w:rsidRPr="00107F30">
        <w:rPr>
          <w:rFonts w:asciiTheme="minorHAnsi" w:hAnsiTheme="minorHAnsi"/>
          <w:color w:val="000000"/>
          <w:sz w:val="21"/>
          <w:szCs w:val="21"/>
        </w:rPr>
        <w:t xml:space="preserve"> Theory </w:t>
      </w:r>
      <w:proofErr w:type="spellStart"/>
      <w:r w:rsidRPr="00107F30">
        <w:rPr>
          <w:rFonts w:asciiTheme="minorHAnsi" w:hAnsiTheme="minorHAnsi"/>
          <w:color w:val="000000"/>
          <w:sz w:val="21"/>
          <w:szCs w:val="21"/>
        </w:rPr>
        <w:t>of</w:t>
      </w:r>
      <w:proofErr w:type="spellEnd"/>
      <w:r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proofErr w:type="spellStart"/>
      <w:r w:rsidRPr="00107F30">
        <w:rPr>
          <w:rFonts w:asciiTheme="minorHAnsi" w:hAnsiTheme="minorHAnsi"/>
          <w:color w:val="000000"/>
          <w:sz w:val="21"/>
          <w:szCs w:val="21"/>
        </w:rPr>
        <w:t>Relativity</w:t>
      </w:r>
      <w:proofErr w:type="spellEnd"/>
      <w:r w:rsidRPr="00107F30">
        <w:rPr>
          <w:rFonts w:asciiTheme="minorHAnsi" w:hAnsiTheme="minorHAnsi"/>
          <w:color w:val="000000"/>
          <w:sz w:val="21"/>
          <w:szCs w:val="21"/>
        </w:rPr>
        <w:t>“ beziehen,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das zuvor im JPSM veröffentlicht wurde),1 möchte ich auf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 drei wichtigsten Einwände eingehen, die in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 xml:space="preserve">Herrn </w:t>
      </w:r>
      <w:proofErr w:type="spellStart"/>
      <w:r w:rsidRPr="00107F30">
        <w:rPr>
          <w:rFonts w:asciiTheme="minorHAnsi" w:hAnsiTheme="minorHAnsi"/>
          <w:color w:val="000000"/>
          <w:sz w:val="21"/>
          <w:szCs w:val="21"/>
        </w:rPr>
        <w:t>Rounds</w:t>
      </w:r>
      <w:proofErr w:type="spellEnd"/>
      <w:r w:rsidRPr="00107F30">
        <w:rPr>
          <w:rFonts w:asciiTheme="minorHAnsi" w:hAnsiTheme="minorHAnsi"/>
          <w:color w:val="000000"/>
          <w:sz w:val="21"/>
          <w:szCs w:val="21"/>
        </w:rPr>
        <w:t xml:space="preserve"> Brief vorgebracht wurden.2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 </w:t>
      </w:r>
    </w:p>
    <w:p w14:paraId="3208E358" w14:textId="77777777" w:rsidR="00214BEE" w:rsidRPr="00107F30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  <w:sz w:val="21"/>
          <w:szCs w:val="21"/>
        </w:rPr>
      </w:pPr>
      <w:r w:rsidRPr="00107F30">
        <w:rPr>
          <w:rFonts w:asciiTheme="minorHAnsi" w:hAnsiTheme="minorHAnsi"/>
          <w:color w:val="000000"/>
          <w:sz w:val="21"/>
          <w:szCs w:val="21"/>
        </w:rPr>
        <w:t>Der erste lautet: Wessen Wert der Zeit ist entscheidend –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der des Patienten oder der Gesellschaft? Das vorgebrachte Argument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lautet, dass in einem öffentlich finanzierten Gesundheitssystem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 allgemeine Bevölkerung die Kosten für die Gesundheitsversorgung trägt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und daher Einfluss darauf haben sollte,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 xml:space="preserve">welche Gesundheitsleistungen erbracht werden. 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Mit anderen Worten: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Um fair zu sein, sollten wir „den Wert der Zeit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auf der Grundlage der Präferenzen der allgemeinen Bevölkerung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und nicht auf der Grundlage der Präferenzen derjenigen bewerten,</w:t>
      </w:r>
      <w:r w:rsidR="00ED16BB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 sich bewusst dem Ende ihres Lebens nähern”.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</w:p>
    <w:p w14:paraId="7F110B11" w14:textId="77777777" w:rsidR="00214BEE" w:rsidRPr="00107F30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  <w:sz w:val="21"/>
          <w:szCs w:val="21"/>
        </w:rPr>
      </w:pPr>
      <w:r w:rsidRPr="00107F30">
        <w:rPr>
          <w:rFonts w:asciiTheme="minorHAnsi" w:hAnsiTheme="minorHAnsi"/>
          <w:color w:val="000000"/>
          <w:sz w:val="21"/>
          <w:szCs w:val="21"/>
        </w:rPr>
        <w:t>Das Problem ist jedoch, dass wir in einer Gesellschaft leben,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 den Tod und alles, was mit Sterben zu tun hat, phobisch vermeidet.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Es ist schwer vorstellbar, dass die Allgemeinheit der Palliativversorgung einen Wert beimisst,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wenn sie weitgehend unfähig ist, sich mit Fragen der Verletzlichkeit,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Abhängigkeit und der unausweichlichen Tatsache des Todes auseinanderzusetzen.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 xml:space="preserve">Wie 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können Entscheidungen und Festlegungen zu einem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„sozial optimalen Niveau der [palliativen] Behandlung“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in den Händen einer Öffentlichkeit liegen, die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von Natur aus unfähig ist, sich diesen Themen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 xml:space="preserve">direkt zu stellen? </w:t>
      </w:r>
    </w:p>
    <w:p w14:paraId="05D61EE5" w14:textId="4EE71B72" w:rsidR="00214BEE" w:rsidRPr="00107F30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  <w:sz w:val="21"/>
          <w:szCs w:val="21"/>
        </w:rPr>
      </w:pPr>
      <w:r w:rsidRPr="00107F30">
        <w:rPr>
          <w:rFonts w:asciiTheme="minorHAnsi" w:hAnsiTheme="minorHAnsi"/>
          <w:color w:val="000000"/>
          <w:sz w:val="21"/>
          <w:szCs w:val="21"/>
        </w:rPr>
        <w:t>Die Folgen einer solchen kollektiven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Verleugnung sind psychologisch und finanziell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tragisch. Patienten und Familien verhindern kritische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 xml:space="preserve">Entscheidungen, Entscheidungen </w:t>
      </w:r>
      <w:r w:rsidRPr="00107F30">
        <w:rPr>
          <w:rFonts w:asciiTheme="minorHAnsi" w:hAnsiTheme="minorHAnsi"/>
          <w:color w:val="000000"/>
          <w:sz w:val="21"/>
          <w:szCs w:val="21"/>
        </w:rPr>
        <w:lastRenderedPageBreak/>
        <w:t>sind oft eher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Wunschdenken als fundierte Überlegungen, und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Geld wird für den vergeblichen Versuch ausgegeben,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dem Tod zu entkommen, anstatt die Leiden am Lebensende zu lindern.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3,4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</w:p>
    <w:p w14:paraId="7C151C03" w14:textId="77777777" w:rsidR="00214BEE" w:rsidRPr="00107F30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  <w:sz w:val="21"/>
          <w:szCs w:val="21"/>
        </w:rPr>
      </w:pPr>
      <w:r w:rsidRPr="00107F30">
        <w:rPr>
          <w:rFonts w:asciiTheme="minorHAnsi" w:hAnsiTheme="minorHAnsi"/>
          <w:color w:val="000000"/>
          <w:sz w:val="21"/>
          <w:szCs w:val="21"/>
        </w:rPr>
        <w:t>Das zweite wichtige Anliegen, das in der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„Kurzantwort” angesprochen wird, betrifft die Frage der empirischen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Belege und der Gewichtung, die bei der Bewertung von Zeit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angewendet werden sollte. Die Annahme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hier ist, dass Zeit eine kontinuierliche Variable ist und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sich normal verhält, wenn der Tod näher rückt.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</w:p>
    <w:p w14:paraId="555A05D6" w14:textId="77777777" w:rsidR="00214BEE" w:rsidRPr="00107F30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  <w:sz w:val="21"/>
          <w:szCs w:val="21"/>
        </w:rPr>
      </w:pPr>
      <w:r w:rsidRPr="00107F30">
        <w:rPr>
          <w:rFonts w:asciiTheme="minorHAnsi" w:hAnsiTheme="minorHAnsi"/>
          <w:color w:val="000000"/>
          <w:sz w:val="21"/>
          <w:szCs w:val="21"/>
        </w:rPr>
        <w:t>Diejenigen, die in der Palliativpflege arbeiten, wie auch diejenigen,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 an der Seite eines sterbenden Angehörigen gewacht haben, wissen,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dass sich die Qualität und Beschaffenheit der Zeit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in der Zeitspanne zwischen Leben und Tod verändert.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Es gibt Fälle, in denen sie sich zu beschleunigen scheint,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und andere Fälle, in denen die Zeit sich verlangsamt,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so sehr, dass selbst flüchtige Momente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unauslöschlich in Erinnerung bleiben. Man muss nur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 Hinterbliebenen fragen, deren Erinnerungen an sterbende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Angehörige und die Qualität der Pflege dauerhaft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 xml:space="preserve">die Landschaft der Trauer prägen.5 </w:t>
      </w:r>
    </w:p>
    <w:p w14:paraId="5A1FCD04" w14:textId="77777777" w:rsidR="00214BEE" w:rsidRPr="00107F30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  <w:sz w:val="21"/>
          <w:szCs w:val="21"/>
        </w:rPr>
      </w:pPr>
      <w:r w:rsidRPr="00107F30">
        <w:rPr>
          <w:rFonts w:asciiTheme="minorHAnsi" w:hAnsiTheme="minorHAnsi"/>
          <w:color w:val="000000"/>
          <w:sz w:val="21"/>
          <w:szCs w:val="21"/>
        </w:rPr>
        <w:t>Herr Round warnt davor, dass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 Methodik der Kosteneffizienz in der Regel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nicht die Vorteile berücksichtigt, die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andere Personen als die behandelte Person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erzielen. Angesichts der Tatsache, dass die Palliativpflege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 Patienten und ihre Familien als Einheit der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Pflege definiert, erscheint es unter diesen Umständen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höchst problematisch, die Bedürfnisse dessen zu ignorieren,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was Ökonomen als „</w:t>
      </w:r>
      <w:proofErr w:type="spellStart"/>
      <w:r w:rsidRPr="00107F30">
        <w:rPr>
          <w:rFonts w:asciiTheme="minorHAnsi" w:hAnsiTheme="minorHAnsi"/>
          <w:color w:val="000000"/>
          <w:sz w:val="21"/>
          <w:szCs w:val="21"/>
        </w:rPr>
        <w:t>caring</w:t>
      </w:r>
      <w:proofErr w:type="spellEnd"/>
      <w:r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proofErr w:type="spellStart"/>
      <w:r w:rsidRPr="00107F30">
        <w:rPr>
          <w:rFonts w:asciiTheme="minorHAnsi" w:hAnsiTheme="minorHAnsi"/>
          <w:color w:val="000000"/>
          <w:sz w:val="21"/>
          <w:szCs w:val="21"/>
        </w:rPr>
        <w:t>externalities</w:t>
      </w:r>
      <w:proofErr w:type="spellEnd"/>
      <w:r w:rsidRPr="00107F30">
        <w:rPr>
          <w:rFonts w:asciiTheme="minorHAnsi" w:hAnsiTheme="minorHAnsi"/>
          <w:color w:val="000000"/>
          <w:sz w:val="21"/>
          <w:szCs w:val="21"/>
        </w:rPr>
        <w:t>” (fürsorgliche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Externalitäten) bezeichnen. Der Nutzen einer Investition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in eine gute Sterbebegleitung muss nicht nur die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Patienten einschließen, sondern auch diejenigen, deren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Erinnerungen an die Verstorbenen und deren Tod ein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Leben lang nachwirken werden.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</w:p>
    <w:p w14:paraId="1E74C9E3" w14:textId="0B961FE3" w:rsidR="00214BEE" w:rsidRPr="00107F30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  <w:sz w:val="21"/>
          <w:szCs w:val="21"/>
        </w:rPr>
      </w:pPr>
      <w:r w:rsidRPr="00107F30">
        <w:rPr>
          <w:rFonts w:asciiTheme="minorHAnsi" w:hAnsiTheme="minorHAnsi"/>
          <w:color w:val="000000"/>
          <w:sz w:val="21"/>
          <w:szCs w:val="21"/>
        </w:rPr>
        <w:t>Es ist auch erwähnenswert, dass es bei der Palliativpflege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selten darum geht, Zeit zu verlängern, sondern vielmehr darum,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Zeit zurückzugewinnen. Während Palliation in der Regel keine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zusätzliche Zeit hinzufügt, ist sie am wirkungsvollsten, wenn sie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 Zeit aus den Fängen des Leidens befreien kann.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Zugegebenermaßen beantwortet dies nicht die Frage, welche empirisch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gestützten Gewichtungen zur Information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des VIP verwendet werden sollten; und obwohl die atypische Natur der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Zeit die Lage erheblich verkompliziert, sind sicherlich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diejenigen, die mehr als eine Steinschleuder besitzen, gut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gerüstet, um dies herauszufinden.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</w:p>
    <w:p w14:paraId="770548F3" w14:textId="77777777" w:rsidR="00214BEE" w:rsidRPr="00107F30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  <w:sz w:val="21"/>
          <w:szCs w:val="21"/>
        </w:rPr>
      </w:pPr>
      <w:r w:rsidRPr="00107F30">
        <w:rPr>
          <w:rFonts w:asciiTheme="minorHAnsi" w:hAnsiTheme="minorHAnsi"/>
          <w:color w:val="000000"/>
          <w:sz w:val="21"/>
          <w:szCs w:val="21"/>
        </w:rPr>
        <w:t>Schließlich fragt die „kurze Antwort”, ob die unterschiedliche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Bewertung von Zeit gerecht ist. Hier besteht die Sorge, dass die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Zuweisung von mehr Ressourcen für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eine bestimmte Patientengruppe auf Kosten anderer Patientengruppen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erfolgt. Neben dieser Sorge wird die Position vertreten, dass es akzeptabel ist,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dass bestimmte Patientengruppen eine Verringerung der Versorgung hinnehmen müssen,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 xml:space="preserve">damit 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der Gesamtnutzen für die Gesellschaft in irgendeiner Weise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 xml:space="preserve">gesteigert wird. </w:t>
      </w:r>
    </w:p>
    <w:p w14:paraId="6442ED23" w14:textId="77777777" w:rsidR="00214BEE" w:rsidRPr="00107F30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  <w:sz w:val="21"/>
          <w:szCs w:val="21"/>
        </w:rPr>
      </w:pPr>
      <w:r w:rsidRPr="00107F30">
        <w:rPr>
          <w:rFonts w:asciiTheme="minorHAnsi" w:hAnsiTheme="minorHAnsi"/>
          <w:color w:val="000000"/>
          <w:sz w:val="21"/>
          <w:szCs w:val="21"/>
        </w:rPr>
        <w:t>Aber wer sind diese „anderen“ Patientengruppen?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Abgesehen von den Sterbenden scheint die einzige verbleibende Gruppe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diejenige zu sein, die sterben wird. Was könnte jedoch fairer sein,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als zu garantieren, dass die Zugehörigkeit zu dieser Gruppe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 Verfügbarkeit einer hochwertigen, kompetenten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palliativen Versorgung beinhaltet?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</w:p>
    <w:p w14:paraId="4BA97893" w14:textId="3ED1A6E1" w:rsidR="00682399" w:rsidRPr="00107F30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  <w:sz w:val="21"/>
          <w:szCs w:val="21"/>
        </w:rPr>
      </w:pPr>
      <w:r w:rsidRPr="00107F30">
        <w:rPr>
          <w:rFonts w:asciiTheme="minorHAnsi" w:hAnsiTheme="minorHAnsi"/>
          <w:color w:val="000000"/>
          <w:sz w:val="21"/>
          <w:szCs w:val="21"/>
        </w:rPr>
        <w:t>Um es klar zu sagen: Ich wiederhole, dass es falsch ist,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Geld für den vergeblichen Versuch auszugeben, dem Tod zu entkommen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oder ihm zu entfliehen. Palliative Care,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die Leiden lindert und Maßstäbe setzt, wie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wir unsere Schwächsten behandeln, hat jedoch weitreichende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und dauerhafte Auswirkungen. Zugegeben, diese Überlegungen machen die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Anwendung des VIP zu einer besonders,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 xml:space="preserve">ich wage zu sagen, </w:t>
      </w:r>
      <w:proofErr w:type="spellStart"/>
      <w:r w:rsidRPr="00107F30">
        <w:rPr>
          <w:rFonts w:asciiTheme="minorHAnsi" w:hAnsiTheme="minorHAnsi"/>
          <w:color w:val="000000"/>
          <w:sz w:val="21"/>
          <w:szCs w:val="21"/>
        </w:rPr>
        <w:t>goliathischen</w:t>
      </w:r>
      <w:proofErr w:type="spellEnd"/>
      <w:r w:rsidRPr="00107F30">
        <w:rPr>
          <w:rFonts w:asciiTheme="minorHAnsi" w:hAnsiTheme="minorHAnsi"/>
          <w:color w:val="000000"/>
          <w:sz w:val="21"/>
          <w:szCs w:val="21"/>
        </w:rPr>
        <w:t xml:space="preserve"> Aufgabe (es ist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offensichtlich an der Zeit, dass diejenigen von uns, die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nur eine Steinschleuder haben, beiseite treten). Obwohl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ich nie damit gerechnet habe, diese Idee über das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konzeptionelle Stadium hinaus zu entwickeln, gibt es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eine wichtige Doppeldeutigkeit, die es wert ist, erwähnt zu werden.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Wenn es um die Sterbebegleitung und Überlegungen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zur Ressourcenverteilung geht, muss jeder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Patient als VIP betrachtet werden – als eine sehr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wichtige Person, für deren Wohlbefinden und das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ihrer Familie wir Mittel und Wege finden müssen.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107F30">
        <w:rPr>
          <w:rFonts w:asciiTheme="minorHAnsi" w:hAnsiTheme="minorHAnsi"/>
          <w:color w:val="000000"/>
          <w:sz w:val="21"/>
          <w:szCs w:val="21"/>
        </w:rPr>
        <w:t>Das ist, relativ gesehen, mein</w:t>
      </w:r>
      <w:r w:rsidR="00682399" w:rsidRPr="00107F30">
        <w:rPr>
          <w:rFonts w:asciiTheme="minorHAnsi" w:hAnsiTheme="minorHAnsi"/>
          <w:color w:val="000000"/>
          <w:sz w:val="21"/>
          <w:szCs w:val="21"/>
        </w:rPr>
        <w:t xml:space="preserve"> Standpunkt</w:t>
      </w:r>
      <w:r w:rsidRPr="00107F30">
        <w:rPr>
          <w:rFonts w:asciiTheme="minorHAnsi" w:hAnsiTheme="minorHAnsi"/>
          <w:color w:val="000000"/>
          <w:sz w:val="21"/>
          <w:szCs w:val="21"/>
        </w:rPr>
        <w:t>.</w:t>
      </w:r>
      <w:r w:rsidR="00214BEE" w:rsidRPr="00107F30">
        <w:rPr>
          <w:rFonts w:asciiTheme="minorHAnsi" w:hAnsiTheme="minorHAnsi"/>
          <w:color w:val="000000"/>
          <w:sz w:val="21"/>
          <w:szCs w:val="21"/>
        </w:rPr>
        <w:t xml:space="preserve"> </w:t>
      </w:r>
    </w:p>
    <w:p w14:paraId="31C95175" w14:textId="77777777" w:rsidR="00682399" w:rsidRPr="00107F30" w:rsidRDefault="00682399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  <w:sz w:val="21"/>
          <w:szCs w:val="21"/>
        </w:rPr>
      </w:pPr>
    </w:p>
    <w:p w14:paraId="7849669C" w14:textId="77777777" w:rsidR="00682399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</w:rPr>
      </w:pPr>
      <w:r w:rsidRPr="006426DD">
        <w:rPr>
          <w:rFonts w:asciiTheme="minorHAnsi" w:hAnsiTheme="minorHAnsi"/>
          <w:color w:val="000000"/>
        </w:rPr>
        <w:t>Harvey Max Chochinov,</w:t>
      </w:r>
    </w:p>
    <w:p w14:paraId="1A6ECF4C" w14:textId="77777777" w:rsidR="00682399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</w:rPr>
      </w:pPr>
      <w:r w:rsidRPr="006426DD">
        <w:rPr>
          <w:rFonts w:asciiTheme="minorHAnsi" w:hAnsiTheme="minorHAnsi"/>
          <w:color w:val="000000"/>
        </w:rPr>
        <w:t>MD, PhD,</w:t>
      </w:r>
      <w:r w:rsidR="00214BEE">
        <w:rPr>
          <w:rFonts w:asciiTheme="minorHAnsi" w:hAnsiTheme="minorHAnsi"/>
          <w:color w:val="000000"/>
        </w:rPr>
        <w:t xml:space="preserve"> </w:t>
      </w:r>
      <w:r w:rsidRPr="006426DD">
        <w:rPr>
          <w:rFonts w:asciiTheme="minorHAnsi" w:hAnsiTheme="minorHAnsi"/>
          <w:color w:val="000000"/>
        </w:rPr>
        <w:t>FRSC, FCAHS</w:t>
      </w:r>
      <w:r w:rsidR="00214BEE">
        <w:rPr>
          <w:rFonts w:asciiTheme="minorHAnsi" w:hAnsiTheme="minorHAnsi"/>
          <w:color w:val="000000"/>
        </w:rPr>
        <w:t xml:space="preserve"> </w:t>
      </w:r>
    </w:p>
    <w:p w14:paraId="09E933D3" w14:textId="77777777" w:rsidR="00682399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</w:rPr>
      </w:pPr>
      <w:r w:rsidRPr="006426DD">
        <w:rPr>
          <w:rFonts w:asciiTheme="minorHAnsi" w:hAnsiTheme="minorHAnsi"/>
          <w:color w:val="000000"/>
        </w:rPr>
        <w:t>Abteilung für Psychiatrie</w:t>
      </w:r>
      <w:r w:rsidR="00214BEE">
        <w:rPr>
          <w:rFonts w:asciiTheme="minorHAnsi" w:hAnsiTheme="minorHAnsi"/>
          <w:color w:val="000000"/>
        </w:rPr>
        <w:t xml:space="preserve"> </w:t>
      </w:r>
      <w:r w:rsidRPr="006426DD">
        <w:rPr>
          <w:rFonts w:asciiTheme="minorHAnsi" w:hAnsiTheme="minorHAnsi"/>
          <w:color w:val="000000"/>
        </w:rPr>
        <w:t>Universität von Manitoba</w:t>
      </w:r>
      <w:r w:rsidR="00214BEE">
        <w:rPr>
          <w:rFonts w:asciiTheme="minorHAnsi" w:hAnsiTheme="minorHAnsi"/>
          <w:color w:val="000000"/>
        </w:rPr>
        <w:t xml:space="preserve"> </w:t>
      </w:r>
      <w:r w:rsidRPr="006426DD">
        <w:rPr>
          <w:rFonts w:asciiTheme="minorHAnsi" w:hAnsiTheme="minorHAnsi"/>
          <w:color w:val="000000"/>
        </w:rPr>
        <w:t>Winnipeg, Manitoba, Kanada</w:t>
      </w:r>
    </w:p>
    <w:p w14:paraId="0C852AC5" w14:textId="77777777" w:rsidR="00682399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</w:rPr>
      </w:pPr>
      <w:r w:rsidRPr="006426DD">
        <w:rPr>
          <w:rFonts w:asciiTheme="minorHAnsi" w:hAnsiTheme="minorHAnsi"/>
          <w:color w:val="000000"/>
        </w:rPr>
        <w:t>Manitoba Palliative Care Research</w:t>
      </w:r>
      <w:r w:rsidR="00214BEE">
        <w:rPr>
          <w:rFonts w:asciiTheme="minorHAnsi" w:hAnsiTheme="minorHAnsi"/>
          <w:color w:val="000000"/>
        </w:rPr>
        <w:t xml:space="preserve"> </w:t>
      </w:r>
      <w:r w:rsidRPr="006426DD">
        <w:rPr>
          <w:rFonts w:asciiTheme="minorHAnsi" w:hAnsiTheme="minorHAnsi"/>
          <w:color w:val="000000"/>
        </w:rPr>
        <w:t xml:space="preserve">Unit, </w:t>
      </w:r>
    </w:p>
    <w:p w14:paraId="389364DC" w14:textId="77777777" w:rsidR="00682399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</w:rPr>
      </w:pPr>
      <w:proofErr w:type="spellStart"/>
      <w:r w:rsidRPr="006426DD">
        <w:rPr>
          <w:rFonts w:asciiTheme="minorHAnsi" w:hAnsiTheme="minorHAnsi"/>
          <w:color w:val="000000"/>
        </w:rPr>
        <w:t>CancerCare</w:t>
      </w:r>
      <w:proofErr w:type="spellEnd"/>
      <w:r w:rsidRPr="006426DD">
        <w:rPr>
          <w:rFonts w:asciiTheme="minorHAnsi" w:hAnsiTheme="minorHAnsi"/>
          <w:color w:val="000000"/>
        </w:rPr>
        <w:t xml:space="preserve"> Manitoba</w:t>
      </w:r>
      <w:r w:rsidR="00214BEE">
        <w:rPr>
          <w:rFonts w:asciiTheme="minorHAnsi" w:hAnsiTheme="minorHAnsi"/>
          <w:color w:val="000000"/>
        </w:rPr>
        <w:t xml:space="preserve"> </w:t>
      </w:r>
      <w:r w:rsidRPr="006426DD">
        <w:rPr>
          <w:rFonts w:asciiTheme="minorHAnsi" w:hAnsiTheme="minorHAnsi"/>
          <w:color w:val="000000"/>
        </w:rPr>
        <w:t>Winnipeg, Manitoba, Kanada</w:t>
      </w:r>
      <w:r w:rsidR="00214BEE">
        <w:rPr>
          <w:rFonts w:asciiTheme="minorHAnsi" w:hAnsiTheme="minorHAnsi"/>
          <w:color w:val="000000"/>
        </w:rPr>
        <w:t xml:space="preserve"> </w:t>
      </w:r>
    </w:p>
    <w:p w14:paraId="4DF1A06A" w14:textId="6BC67C17" w:rsidR="000D1A43" w:rsidRPr="006426DD" w:rsidRDefault="006426DD" w:rsidP="00214BEE">
      <w:pPr>
        <w:pStyle w:val="StandardWeb"/>
        <w:spacing w:before="0" w:beforeAutospacing="0" w:after="120" w:afterAutospacing="0"/>
        <w:rPr>
          <w:rFonts w:asciiTheme="minorHAnsi" w:hAnsiTheme="minorHAnsi"/>
          <w:color w:val="000000"/>
        </w:rPr>
      </w:pPr>
      <w:r w:rsidRPr="006426DD">
        <w:rPr>
          <w:rFonts w:asciiTheme="minorHAnsi" w:hAnsiTheme="minorHAnsi"/>
          <w:color w:val="000000"/>
        </w:rPr>
        <w:t>doi:10.1016/j.jpainsymman.2011.12.175</w:t>
      </w:r>
      <w:r w:rsidR="00214BEE">
        <w:rPr>
          <w:rFonts w:asciiTheme="minorHAnsi" w:hAnsiTheme="minorHAnsi"/>
          <w:color w:val="000000"/>
        </w:rPr>
        <w:t xml:space="preserve">  </w:t>
      </w:r>
    </w:p>
    <w:sectPr w:rsidR="000D1A43" w:rsidRPr="006426DD">
      <w:footerReference w:type="even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F6517" w14:textId="77777777" w:rsidR="00107F30" w:rsidRDefault="00107F30" w:rsidP="00107F30">
      <w:r>
        <w:separator/>
      </w:r>
    </w:p>
  </w:endnote>
  <w:endnote w:type="continuationSeparator" w:id="0">
    <w:p w14:paraId="40549919" w14:textId="77777777" w:rsidR="00107F30" w:rsidRDefault="00107F30" w:rsidP="00107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490629719"/>
      <w:docPartObj>
        <w:docPartGallery w:val="Page Numbers (Bottom of Page)"/>
        <w:docPartUnique/>
      </w:docPartObj>
    </w:sdtPr>
    <w:sdtContent>
      <w:p w14:paraId="638B9287" w14:textId="01CC874B" w:rsidR="00107F30" w:rsidRDefault="00107F30" w:rsidP="00995A9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49BAEBF" w14:textId="77777777" w:rsidR="00107F30" w:rsidRDefault="00107F30" w:rsidP="00107F3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629826426"/>
      <w:docPartObj>
        <w:docPartGallery w:val="Page Numbers (Bottom of Page)"/>
        <w:docPartUnique/>
      </w:docPartObj>
    </w:sdtPr>
    <w:sdtContent>
      <w:p w14:paraId="33E5CE6D" w14:textId="4C6BA9A3" w:rsidR="00107F30" w:rsidRDefault="00107F30" w:rsidP="00995A9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134E0A17" w14:textId="77777777" w:rsidR="00107F30" w:rsidRDefault="00107F30" w:rsidP="00107F30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12FA9" w14:textId="77777777" w:rsidR="00107F30" w:rsidRDefault="00107F30" w:rsidP="00107F30">
      <w:r>
        <w:separator/>
      </w:r>
    </w:p>
  </w:footnote>
  <w:footnote w:type="continuationSeparator" w:id="0">
    <w:p w14:paraId="173B7877" w14:textId="77777777" w:rsidR="00107F30" w:rsidRDefault="00107F30" w:rsidP="00107F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DD"/>
    <w:rsid w:val="00091B7E"/>
    <w:rsid w:val="000D1A43"/>
    <w:rsid w:val="00107F30"/>
    <w:rsid w:val="00214BEE"/>
    <w:rsid w:val="003030C4"/>
    <w:rsid w:val="003F2550"/>
    <w:rsid w:val="0044415D"/>
    <w:rsid w:val="004608A3"/>
    <w:rsid w:val="00514275"/>
    <w:rsid w:val="00564C5A"/>
    <w:rsid w:val="005E224C"/>
    <w:rsid w:val="006426DD"/>
    <w:rsid w:val="00675343"/>
    <w:rsid w:val="00682399"/>
    <w:rsid w:val="00694FF8"/>
    <w:rsid w:val="007C7405"/>
    <w:rsid w:val="008A1215"/>
    <w:rsid w:val="00A14CBA"/>
    <w:rsid w:val="00B9726E"/>
    <w:rsid w:val="00ED16BB"/>
    <w:rsid w:val="00F9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BC4600"/>
  <w15:chartTrackingRefBased/>
  <w15:docId w15:val="{180C9535-EE5E-6B43-83AA-7B584851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42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42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42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42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42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426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426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426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426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unhideWhenUsed/>
    <w:qFormat/>
    <w:rsid w:val="003030C4"/>
    <w:rPr>
      <w:rFonts w:asciiTheme="majorHAnsi" w:hAnsiTheme="majorHAnsi"/>
      <w:position w:val="6"/>
      <w:sz w:val="18"/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42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42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42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426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426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426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426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426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426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426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42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426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42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426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426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426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426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42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426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426DD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26D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107F3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7F30"/>
  </w:style>
  <w:style w:type="character" w:styleId="Seitenzahl">
    <w:name w:val="page number"/>
    <w:basedOn w:val="Absatz-Standardschriftart"/>
    <w:uiPriority w:val="99"/>
    <w:semiHidden/>
    <w:unhideWhenUsed/>
    <w:rsid w:val="00107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1041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RMH</dc:creator>
  <cp:keywords/>
  <dc:description/>
  <cp:lastModifiedBy>RMH</cp:lastModifiedBy>
  <cp:revision>3</cp:revision>
  <cp:lastPrinted>2025-07-07T10:19:00Z</cp:lastPrinted>
  <dcterms:created xsi:type="dcterms:W3CDTF">2025-07-07T09:56:00Z</dcterms:created>
  <dcterms:modified xsi:type="dcterms:W3CDTF">2025-07-07T10:19:00Z</dcterms:modified>
</cp:coreProperties>
</file>